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3FDB" w:rsidRDefault="005E3FDB" w:rsidP="005E3FDB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ОБОСНОВАНИЕ </w:t>
      </w:r>
    </w:p>
    <w:p w:rsidR="005E3FDB" w:rsidRDefault="005E3FDB" w:rsidP="005E3FDB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предлагаемого распределения чистой прибыли </w:t>
      </w:r>
    </w:p>
    <w:p w:rsidR="005E3FDB" w:rsidRDefault="005E3FDB" w:rsidP="005E3FDB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и оценка его соответствия принятой в </w:t>
      </w:r>
      <w:r w:rsidRPr="00B83037">
        <w:rPr>
          <w:b/>
          <w:bCs/>
          <w:color w:val="auto"/>
          <w:sz w:val="28"/>
          <w:szCs w:val="28"/>
        </w:rPr>
        <w:t xml:space="preserve">ПАО </w:t>
      </w:r>
      <w:r>
        <w:rPr>
          <w:b/>
          <w:bCs/>
          <w:color w:val="auto"/>
          <w:sz w:val="28"/>
          <w:szCs w:val="28"/>
        </w:rPr>
        <w:t>«</w:t>
      </w:r>
      <w:r w:rsidRPr="00B83037">
        <w:rPr>
          <w:b/>
          <w:bCs/>
          <w:color w:val="auto"/>
          <w:sz w:val="28"/>
          <w:szCs w:val="28"/>
        </w:rPr>
        <w:t>РусГидро</w:t>
      </w:r>
      <w:r>
        <w:rPr>
          <w:b/>
          <w:bCs/>
          <w:color w:val="auto"/>
          <w:sz w:val="28"/>
          <w:szCs w:val="28"/>
        </w:rPr>
        <w:t>»</w:t>
      </w:r>
      <w:r w:rsidRPr="00B83037">
        <w:rPr>
          <w:b/>
          <w:bCs/>
          <w:color w:val="auto"/>
          <w:sz w:val="28"/>
          <w:szCs w:val="28"/>
        </w:rPr>
        <w:t xml:space="preserve"> </w:t>
      </w:r>
      <w:r w:rsidRPr="00B83037">
        <w:rPr>
          <w:bCs/>
          <w:color w:val="auto"/>
          <w:sz w:val="28"/>
          <w:szCs w:val="28"/>
        </w:rPr>
        <w:t>(далее также Общество)</w:t>
      </w:r>
      <w:r>
        <w:rPr>
          <w:b/>
          <w:bCs/>
          <w:color w:val="auto"/>
          <w:sz w:val="28"/>
          <w:szCs w:val="28"/>
        </w:rPr>
        <w:t xml:space="preserve"> дивидендной политике, </w:t>
      </w:r>
      <w:r w:rsidRPr="00B83037">
        <w:rPr>
          <w:b/>
          <w:bCs/>
          <w:color w:val="auto"/>
          <w:sz w:val="28"/>
          <w:szCs w:val="28"/>
        </w:rPr>
        <w:t xml:space="preserve">в том числе на выплату дивидендов и собственные нужды Общества, </w:t>
      </w:r>
      <w:r>
        <w:rPr>
          <w:b/>
          <w:bCs/>
          <w:color w:val="auto"/>
          <w:sz w:val="28"/>
          <w:szCs w:val="28"/>
        </w:rPr>
        <w:t>с пояснениями и экономическим обоснованием потребности в направлении определенной части чистой прибыли на собственные нужды.</w:t>
      </w:r>
    </w:p>
    <w:p w:rsidR="005E3FDB" w:rsidRDefault="005E3FDB" w:rsidP="005E3FDB">
      <w:pPr>
        <w:pStyle w:val="Default"/>
        <w:jc w:val="center"/>
        <w:rPr>
          <w:color w:val="auto"/>
          <w:sz w:val="28"/>
          <w:szCs w:val="28"/>
        </w:rPr>
      </w:pP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В целях повышения прозрачности и прогнозируемости размера дивидендов решением Совета директоров Общества утверждено Положение о дивидендной политике ПАО «РусГидро» (протокол от 26.11.2021 № 336) (далее также Положение о дивидендной политике). Одним из основных принципов данной Политики является поддержание требуемого уровня платежеспособности и финансовой устойчивости Общества.</w:t>
      </w:r>
    </w:p>
    <w:p w:rsidR="005E3FDB" w:rsidRPr="00B83037" w:rsidRDefault="005E3FDB" w:rsidP="005E3FDB">
      <w:pPr>
        <w:pStyle w:val="a9"/>
        <w:tabs>
          <w:tab w:val="left" w:pos="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z w:val="28"/>
          <w:szCs w:val="28"/>
        </w:rPr>
        <w:t>Положение о дивидендной политике устанавливает базовое значение для расчета суммы дивидендов в размере 50 % от показателя чистой прибыли Группы РусГидро за соответствующий отчетный год, определенного в соответствии с международными стандартами финансовой отчетности (далее также МСФО)</w:t>
      </w:r>
      <w:r w:rsidRPr="00B8303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без учета признанных в составе этой прибыли</w:t>
      </w:r>
      <w:r w:rsidRPr="00B83037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доходов и расходов, связанных с признанием (восстановлением) убытка от обесценения основных средств и нематериальных активов, а также с их списанием (за исключением списаний, связанных с продажей);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доходов и расходов, связанных с изменением справедливой стоимости финансовых активов, определяемой в соответствии с МСФО;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доходов и расходов, связанных с курсовыми разницами;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прибылей или убытков, которые были отнесены на неконтролирующие доли участия дочерней организации, определяемые в соответствии с МСФО, в течение отчетного периода.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Пунктом 2.3 Положения о дивидендной политике определен минимальный размер дивидендных выплат на уровне среднего размера дивидендных выплат за предыдущие 3 года.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При этом, пунктом 2.2 Положения о дивидендной политике предусмотрены следующие условия выплаты дивидендов, с учетом которых органы управления Общества формируют свои предложения акционерам: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потребность Общества в реализации стратегического развития;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lastRenderedPageBreak/>
        <w:t>необходимость направления части прибыли на реализацию инвестиционных программ, утверждаемых федеральными органами исполнительной власти;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предельно допустимый уровень долговой нагрузки, обеспечивающий в долгосрочном периоде необходимые показатели платежеспособности и финансовой устойчивости Группы РусГидро;</w:t>
      </w:r>
    </w:p>
    <w:p w:rsidR="005E3FDB" w:rsidRPr="00B83037" w:rsidRDefault="005E3FDB" w:rsidP="005E3FDB">
      <w:pPr>
        <w:pStyle w:val="a9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before="0" w:beforeAutospacing="0" w:after="0" w:afterAutospacing="0"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3037">
        <w:rPr>
          <w:rFonts w:ascii="Times New Roman" w:hAnsi="Times New Roman" w:cs="Times New Roman"/>
          <w:spacing w:val="-2"/>
          <w:sz w:val="28"/>
          <w:szCs w:val="28"/>
        </w:rPr>
        <w:t>рекомендации Правительства Российской Федерации.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 xml:space="preserve">Положение о дивидендной политике учитывает нормы распоряжения Правительства Российской Федерации от 29.05.2006 № 774-р (в редакции распоряжения Правительства Российской Федерации от 11.06.2021 </w:t>
      </w:r>
      <w:hyperlink r:id="rId8">
        <w:r w:rsidRPr="00B83037">
          <w:rPr>
            <w:rFonts w:ascii="Times New Roman" w:hAnsi="Times New Roman"/>
            <w:sz w:val="28"/>
            <w:szCs w:val="28"/>
          </w:rPr>
          <w:t>№ 1589-р</w:t>
        </w:r>
      </w:hyperlink>
      <w:r w:rsidRPr="00B83037">
        <w:rPr>
          <w:rFonts w:ascii="Times New Roman" w:hAnsi="Times New Roman"/>
          <w:sz w:val="28"/>
          <w:szCs w:val="28"/>
        </w:rPr>
        <w:t>, далее также Распоряжение).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В соответствии с Федеральным законом от 27.07.2010 № 208-ФЗ «О консолидированной финансовой отчетности» Общество относится к организациям, формирующим консолидированную финансовую отчетность в соответствии с МСФО, а также учитывает нормы Методических рекомендаций по составлению и реализации дивидендных политик публичными компаниями, разработанных ПАО Московская биржа, и Кодекса корпоративного управления, одобренного Банком России.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Решения по вопросам распределения прибыли и выплаты дивидендов по акциям Общества по результатам 2023 и 2024 годов по итогам проведенных годовых Общих собраний акционеров Общества (протокол от 01.07.2024 № 23, дата проведения 28.06.2024, протокол от 01.07.2025 № 25, дата проведения 30.06.2025) не приняты.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 xml:space="preserve">В целях улучшения финансово-экономического состояния Группы РусГидро, поддержания необходимого уровня надежности энергетических объектов и обеспечения бесперебойного снабжения ключевых категорий потребителей, исполнения инвестиционных программ, в рамках исполнения указаний Президента Российской Федерации Путина В.В. от 04.02.2025 </w:t>
      </w:r>
      <w:r>
        <w:rPr>
          <w:rFonts w:ascii="Times New Roman" w:hAnsi="Times New Roman"/>
          <w:sz w:val="28"/>
          <w:szCs w:val="28"/>
        </w:rPr>
        <w:br/>
      </w:r>
      <w:r w:rsidRPr="00B83037">
        <w:rPr>
          <w:rFonts w:ascii="Times New Roman" w:hAnsi="Times New Roman"/>
          <w:sz w:val="28"/>
          <w:szCs w:val="28"/>
        </w:rPr>
        <w:t xml:space="preserve">№ Пр-209, от 22.02.2025 № Пр-375, от 29.10.2025 № Пр-2514 (пункт 1 подпункт г) приняты: Распоряжение Правительства Российской Федерации от 29.11.2025 №3524-р (предусматривающее установление коэффициента либерализации, используемого для определения объёмов поставки электрической энергии и мощности для ГЭС в Дальневосточном федеральном округе (далее – ДФО): 2026 год – 0,22; 2027 год – 0,4; 2028 год – 0,6; 2029 год – 0,8; 2030 год и далее – 1) и Распоряжение Правительства Российской Федерации от 25.12.2025 № 4074-р (предусматривающее введение моратория на выплату дивидендов ПАО «РусГидро» за 2023 - 2029 годы при условии направления всей чистой прибыли акционерного общества на финансирование развития акционерного общества, </w:t>
      </w:r>
      <w:r w:rsidRPr="00B83037">
        <w:rPr>
          <w:rFonts w:ascii="Times New Roman" w:hAnsi="Times New Roman"/>
          <w:sz w:val="28"/>
          <w:szCs w:val="28"/>
        </w:rPr>
        <w:lastRenderedPageBreak/>
        <w:t>в том числе на финансирование инвестиционных программ акционерного общества.).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Несмотря на реализацию мер поддержки, финансово-экономическое состояние Группы РусГидро осложнено необходимостью реализации масштабной инвестиционной программы за счет активного привлечения заемных средств. Объем потребностей в финансировании инвестиционной программы Группы РусГидро в 2026 – 2030 годах, предусматривающей приоритетность развития энергетики Дальнего Востока, оценивается в 1,05 трлн. рублей, из них 0,79 трлн. рублей – на территории Дальнего Востока. К концу 2027 года долг превысит 1,3 трлн. рублей, при этом большая часть долга будет приходиться на заимствования, привлекаемые ПАО «РусГидро» в целях финансирования проектов, реализуемых в соответствии с комплексным планом модернизации и расширения магистральной инфраструктуры, утвержденным распоряжением Правительства Российской Федерации от 30.09.2018 № 2101-р (суммарно начиная с 2020 года объем финансирования составляет 0,9 трлн. рублей), в том числе для энергоснабжения второго этапа развития инфраструктуры Восточного полигона, по реконструкции Владивостокской ТЭЦ-2, строительству Артемовской ТЭЦ-2, Хабаровской ТЭЦ-4 и Якутской ГРЭС-2 (2-я очередь), по расширению Партизанской ГРЭС и строительству 2-й очереди Нерюнгринской ГРЭС совокупной установленной электрической мощностью более 2,1 ГВт. Своевременный ввод в эксплуатацию данных объектов критически важен для энергетической системы Дальневосточного федерального округа в связи с растущим энергетическим дефицитом в макрорегионе с целью избежания введения длительных ограничений на энергопотребление не только промышленных, но и социальных объектов, а также населения.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 xml:space="preserve">В результате реализации масштабной инвестиционной программы, наряду с убыточностью дальневосточных компаний Группы РусГидро, обусловленной особенностями тарифного регулирования, а также в связи с длительным периодом действия беспрецедентно высокого уровня ключевой ставки Банка России, в 2026 году достигается пиковое значение соотношения DEBT/EBITDA 6.2,  при котором существует риск нарушения кредитных ковенантов и кросс-дефолта по кредитному портфелю Группы РусГидро, а в случае согласования с кредиторами неприменения права на досрочное истребование – это приведет к значительному повышению стоимости заимствований и сокращению доступных инструментов привлечения заемного капитала для Группы РусГидро. Следует отметить, что в 2027 году предельный уровень долговой нагрузки, установленный Кредитной политикой ПАО «РусГидро», а также </w:t>
      </w:r>
      <w:r w:rsidRPr="00B83037">
        <w:rPr>
          <w:rFonts w:ascii="Times New Roman" w:hAnsi="Times New Roman"/>
          <w:sz w:val="28"/>
          <w:szCs w:val="28"/>
        </w:rPr>
        <w:lastRenderedPageBreak/>
        <w:t>применяемый кредитными рейтинговыми агентствами в качестве границы финансовой устойчивости, также будет превышен.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Учитывая изложенное и во исполнение распоряжения Правительства Российской Федерации от 25.12.2025 №4074-р, а также руководствуясь п. 2.2 Положения о дивидендной политике, предлагается</w:t>
      </w:r>
      <w:r w:rsidRPr="00B83037">
        <w:rPr>
          <w:rFonts w:ascii="Times New Roman" w:hAnsi="Times New Roman" w:cs="Times New Roman"/>
          <w:color w:val="000000"/>
          <w:sz w:val="28"/>
          <w:szCs w:val="28"/>
        </w:rPr>
        <w:t xml:space="preserve"> не выплачивать дивиденды по обыкновенным акциям Общества по результатам 2023 – 2025 годов</w:t>
      </w:r>
      <w:r w:rsidRPr="00B83037">
        <w:rPr>
          <w:rFonts w:ascii="Times New Roman" w:hAnsi="Times New Roman"/>
          <w:sz w:val="28"/>
          <w:szCs w:val="28"/>
        </w:rPr>
        <w:t xml:space="preserve"> и рассмотреть следующее распределение прибыли Общества по итогам деятельности за 2023 - 2025 годы: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83037">
        <w:rPr>
          <w:rFonts w:ascii="Times New Roman" w:hAnsi="Times New Roman"/>
          <w:color w:val="000000"/>
          <w:sz w:val="28"/>
          <w:szCs w:val="28"/>
        </w:rPr>
        <w:t xml:space="preserve">По итогам 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>2023</w:t>
      </w:r>
      <w:r w:rsidRPr="00B83037">
        <w:rPr>
          <w:rFonts w:ascii="Times New Roman" w:hAnsi="Times New Roman"/>
          <w:color w:val="000000"/>
          <w:sz w:val="28"/>
          <w:szCs w:val="28"/>
        </w:rPr>
        <w:t xml:space="preserve"> года объем чистой прибыли, определенный в годовой бухгалтерской отчетности Общества, составленной по российским стандартам бухгалтерского учета, составил 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>32</w:t>
      </w:r>
      <w:r w:rsidRPr="00B8303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 xml:space="preserve">669,8 </w:t>
      </w:r>
      <w:r w:rsidRPr="00B83037">
        <w:rPr>
          <w:rFonts w:ascii="Times New Roman" w:hAnsi="Times New Roman"/>
          <w:color w:val="000000"/>
          <w:sz w:val="28"/>
          <w:szCs w:val="28"/>
        </w:rPr>
        <w:t>млн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83037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83037">
        <w:rPr>
          <w:rFonts w:ascii="Times New Roman" w:hAnsi="Times New Roman"/>
          <w:spacing w:val="-2"/>
          <w:sz w:val="28"/>
          <w:szCs w:val="28"/>
        </w:rPr>
        <w:t>Полученную прибыль предлагается распределить на развитие Общества (финансирование инвестиционной программы) следующим образом:</w:t>
      </w:r>
    </w:p>
    <w:p w:rsidR="005E3FDB" w:rsidRPr="00B83037" w:rsidRDefault="005E3FDB" w:rsidP="005E3FDB">
      <w:pPr>
        <w:pStyle w:val="a7"/>
        <w:numPr>
          <w:ilvl w:val="0"/>
          <w:numId w:val="2"/>
        </w:numPr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B83037">
        <w:rPr>
          <w:b/>
          <w:color w:val="000000"/>
          <w:sz w:val="28"/>
          <w:szCs w:val="28"/>
        </w:rPr>
        <w:t xml:space="preserve"> 8</w:t>
      </w:r>
      <w:r w:rsidRPr="00B83037">
        <w:rPr>
          <w:b/>
          <w:color w:val="000000"/>
          <w:sz w:val="28"/>
          <w:szCs w:val="28"/>
          <w:lang w:val="en-US"/>
        </w:rPr>
        <w:t> </w:t>
      </w:r>
      <w:r w:rsidRPr="00B83037">
        <w:rPr>
          <w:b/>
          <w:color w:val="000000"/>
          <w:sz w:val="28"/>
          <w:szCs w:val="28"/>
        </w:rPr>
        <w:t xml:space="preserve">102,6 </w:t>
      </w:r>
      <w:r w:rsidRPr="00B83037">
        <w:rPr>
          <w:color w:val="000000"/>
          <w:sz w:val="28"/>
          <w:szCs w:val="28"/>
        </w:rPr>
        <w:t xml:space="preserve">млн рублей – объем финансирования инвестиционной программы Общества в 2023 году, утвержденный в соответствии с постановлением </w:t>
      </w:r>
      <w:r w:rsidRPr="00B83037">
        <w:rPr>
          <w:sz w:val="28"/>
          <w:szCs w:val="28"/>
        </w:rPr>
        <w:t xml:space="preserve">Правительства Российской Федерации от 01.12.2009 № 977 «Об инвестиционных программах субъектов электроэнергетики» (далее – Постановление № 977), приказом Минэнерго России от 19.12.2023 № 25@ (далее – Приказ № 25@): </w:t>
      </w:r>
      <w:r w:rsidRPr="00B83037">
        <w:rPr>
          <w:color w:val="000000"/>
          <w:sz w:val="28"/>
          <w:szCs w:val="28"/>
        </w:rPr>
        <w:t>проекты, утвержденные распоряжением Правительства Российской Федерации от 30.09.2018 № 2101-р (далее – Распоряжение № 2101-р);</w:t>
      </w:r>
    </w:p>
    <w:p w:rsidR="005E3FDB" w:rsidRPr="00B83037" w:rsidRDefault="005E3FDB" w:rsidP="005E3FDB">
      <w:pPr>
        <w:pStyle w:val="a7"/>
        <w:numPr>
          <w:ilvl w:val="0"/>
          <w:numId w:val="2"/>
        </w:numPr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B83037">
        <w:rPr>
          <w:b/>
          <w:color w:val="000000"/>
          <w:sz w:val="28"/>
          <w:szCs w:val="28"/>
        </w:rPr>
        <w:t xml:space="preserve"> 460,0 </w:t>
      </w:r>
      <w:r w:rsidRPr="00B83037">
        <w:rPr>
          <w:color w:val="000000"/>
          <w:sz w:val="28"/>
          <w:szCs w:val="28"/>
        </w:rPr>
        <w:t xml:space="preserve">млн рублей – объем финансирования инвестиционной программы Общества в 2023 году, утвержденный в соответствии с Постановлением </w:t>
      </w:r>
      <w:r w:rsidRPr="00B83037">
        <w:rPr>
          <w:sz w:val="28"/>
          <w:szCs w:val="28"/>
        </w:rPr>
        <w:t xml:space="preserve">№ 977, Приказом № 25@: </w:t>
      </w:r>
      <w:r w:rsidRPr="00B83037">
        <w:rPr>
          <w:color w:val="000000"/>
          <w:sz w:val="28"/>
          <w:szCs w:val="28"/>
        </w:rPr>
        <w:t>проекты, технического перевооружения и реконструкции;</w:t>
      </w:r>
    </w:p>
    <w:p w:rsidR="005E3FDB" w:rsidRPr="00B83037" w:rsidRDefault="005E3FDB" w:rsidP="005E3FDB">
      <w:pPr>
        <w:numPr>
          <w:ilvl w:val="0"/>
          <w:numId w:val="2"/>
        </w:numPr>
        <w:tabs>
          <w:tab w:val="left" w:pos="0"/>
          <w:tab w:val="left" w:pos="709"/>
        </w:tabs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b/>
          <w:spacing w:val="-2"/>
          <w:sz w:val="28"/>
          <w:szCs w:val="28"/>
        </w:rPr>
        <w:t xml:space="preserve"> 24</w:t>
      </w:r>
      <w:r w:rsidRPr="00B83037">
        <w:rPr>
          <w:rFonts w:ascii="Times New Roman" w:hAnsi="Times New Roman"/>
          <w:b/>
          <w:spacing w:val="-2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b/>
          <w:spacing w:val="-2"/>
          <w:sz w:val="28"/>
          <w:szCs w:val="28"/>
        </w:rPr>
        <w:t xml:space="preserve">107,2 </w:t>
      </w:r>
      <w:r w:rsidRPr="00B83037">
        <w:rPr>
          <w:rFonts w:ascii="Times New Roman" w:hAnsi="Times New Roman"/>
          <w:color w:val="000000"/>
          <w:sz w:val="28"/>
          <w:szCs w:val="28"/>
        </w:rPr>
        <w:t xml:space="preserve">млн рублей – объем финансирования инвестиционной программы в 2025 году, утвержденный в соответствии с Постановлением </w:t>
      </w:r>
      <w:r w:rsidRPr="00B83037">
        <w:rPr>
          <w:rFonts w:ascii="Times New Roman" w:hAnsi="Times New Roman"/>
          <w:sz w:val="28"/>
          <w:szCs w:val="28"/>
        </w:rPr>
        <w:t xml:space="preserve">№ 977, приказом Минэнерго России от 28.11.2025 № 4@ (далее – Приказ № 4@). </w:t>
      </w:r>
      <w:r w:rsidRPr="00B83037">
        <w:rPr>
          <w:rFonts w:ascii="Times New Roman" w:hAnsi="Times New Roman"/>
          <w:color w:val="000000"/>
          <w:sz w:val="28"/>
          <w:szCs w:val="28"/>
        </w:rPr>
        <w:t xml:space="preserve">Данные средства направляются на финансирование в качестве источника «остаток собственных средств на начало года». Денежные потоки за счет средств (источников) Общества планируется направить на финансирование проектов, утвержденных Распоряжением </w:t>
      </w:r>
      <w:r w:rsidRPr="00B83037">
        <w:rPr>
          <w:rFonts w:ascii="Times New Roman" w:hAnsi="Times New Roman"/>
          <w:sz w:val="28"/>
          <w:szCs w:val="28"/>
        </w:rPr>
        <w:t>№ 2101-р.</w:t>
      </w:r>
    </w:p>
    <w:p w:rsidR="005E3FDB" w:rsidRPr="00B83037" w:rsidRDefault="005E3FDB" w:rsidP="005E3FD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Hlk193382142"/>
      <w:r w:rsidRPr="00B83037">
        <w:rPr>
          <w:rFonts w:ascii="Times New Roman" w:hAnsi="Times New Roman"/>
          <w:sz w:val="28"/>
          <w:szCs w:val="28"/>
        </w:rPr>
        <w:t xml:space="preserve">По итогам </w:t>
      </w:r>
      <w:r w:rsidRPr="00B83037">
        <w:rPr>
          <w:rFonts w:ascii="Times New Roman" w:hAnsi="Times New Roman"/>
          <w:b/>
          <w:sz w:val="28"/>
          <w:szCs w:val="28"/>
        </w:rPr>
        <w:t>2024</w:t>
      </w:r>
      <w:r w:rsidRPr="00B83037">
        <w:rPr>
          <w:rFonts w:ascii="Times New Roman" w:hAnsi="Times New Roman"/>
          <w:sz w:val="28"/>
          <w:szCs w:val="28"/>
        </w:rPr>
        <w:t xml:space="preserve"> года объем убытка, определенный в годовой бухгалтерской отчетности Общества, составленной по российским стандартам бухгалтерского учета, составил </w:t>
      </w:r>
      <w:r w:rsidRPr="00B83037">
        <w:rPr>
          <w:rFonts w:ascii="Times New Roman" w:hAnsi="Times New Roman"/>
          <w:b/>
          <w:sz w:val="28"/>
          <w:szCs w:val="28"/>
        </w:rPr>
        <w:t xml:space="preserve">13 433,8 </w:t>
      </w:r>
      <w:r w:rsidRPr="00B83037">
        <w:rPr>
          <w:rFonts w:ascii="Times New Roman" w:hAnsi="Times New Roman"/>
          <w:sz w:val="28"/>
          <w:szCs w:val="28"/>
        </w:rPr>
        <w:t>млн</w:t>
      </w:r>
      <w:r w:rsidRPr="00B83037">
        <w:rPr>
          <w:rFonts w:ascii="Times New Roman" w:hAnsi="Times New Roman"/>
          <w:b/>
          <w:sz w:val="28"/>
          <w:szCs w:val="28"/>
        </w:rPr>
        <w:t xml:space="preserve"> </w:t>
      </w:r>
      <w:r w:rsidRPr="00B83037">
        <w:rPr>
          <w:rFonts w:ascii="Times New Roman" w:hAnsi="Times New Roman"/>
          <w:sz w:val="28"/>
          <w:szCs w:val="28"/>
        </w:rPr>
        <w:t>рублей</w:t>
      </w:r>
      <w:bookmarkEnd w:id="0"/>
      <w:r w:rsidRPr="00B83037">
        <w:rPr>
          <w:rFonts w:ascii="Times New Roman" w:hAnsi="Times New Roman"/>
          <w:sz w:val="28"/>
          <w:szCs w:val="28"/>
        </w:rPr>
        <w:t>.</w:t>
      </w:r>
    </w:p>
    <w:p w:rsidR="005E3FDB" w:rsidRPr="00B83037" w:rsidRDefault="005E3FDB" w:rsidP="005E3FD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color w:val="000000"/>
          <w:sz w:val="28"/>
          <w:szCs w:val="28"/>
        </w:rPr>
        <w:t>Переходящий с 2023 года</w:t>
      </w:r>
      <w:r w:rsidRPr="00B83037">
        <w:rPr>
          <w:rFonts w:ascii="Times New Roman" w:hAnsi="Times New Roman"/>
          <w:sz w:val="28"/>
          <w:szCs w:val="28"/>
        </w:rPr>
        <w:t xml:space="preserve"> остаток источников финансирования инвестиционной программы составляет 24</w:t>
      </w:r>
      <w:r w:rsidRPr="00B83037">
        <w:rPr>
          <w:rFonts w:ascii="Times New Roman" w:hAnsi="Times New Roman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sz w:val="28"/>
          <w:szCs w:val="28"/>
        </w:rPr>
        <w:t xml:space="preserve">107,2 </w:t>
      </w:r>
      <w:r w:rsidRPr="00B83037">
        <w:rPr>
          <w:rFonts w:ascii="Times New Roman" w:hAnsi="Times New Roman"/>
          <w:color w:val="000000"/>
          <w:sz w:val="28"/>
          <w:szCs w:val="28"/>
        </w:rPr>
        <w:t>млн рублей и планируется к использованию в 2025 году.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83037">
        <w:rPr>
          <w:rFonts w:ascii="Times New Roman" w:hAnsi="Times New Roman"/>
          <w:color w:val="000000"/>
          <w:sz w:val="28"/>
          <w:szCs w:val="28"/>
        </w:rPr>
        <w:lastRenderedPageBreak/>
        <w:t xml:space="preserve">По итогам 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>2025</w:t>
      </w:r>
      <w:r w:rsidRPr="00B83037">
        <w:rPr>
          <w:rFonts w:ascii="Times New Roman" w:hAnsi="Times New Roman"/>
          <w:color w:val="000000"/>
          <w:sz w:val="28"/>
          <w:szCs w:val="28"/>
        </w:rPr>
        <w:t xml:space="preserve"> года объем чистой прибыли, определенный в годовой бухгалтерской отчетности Общества, составленной по российским стандартам бухгалтерского учета, составил 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>66</w:t>
      </w:r>
      <w:r w:rsidRPr="00B8303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 xml:space="preserve">919,4 </w:t>
      </w:r>
      <w:r w:rsidRPr="00B83037">
        <w:rPr>
          <w:rFonts w:ascii="Times New Roman" w:hAnsi="Times New Roman"/>
          <w:color w:val="000000"/>
          <w:sz w:val="28"/>
          <w:szCs w:val="28"/>
        </w:rPr>
        <w:t>млн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83037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E3FDB" w:rsidRPr="00B83037" w:rsidRDefault="005E3FDB" w:rsidP="005E3FDB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83037">
        <w:rPr>
          <w:rFonts w:ascii="Times New Roman" w:hAnsi="Times New Roman"/>
          <w:spacing w:val="-2"/>
          <w:sz w:val="28"/>
          <w:szCs w:val="28"/>
        </w:rPr>
        <w:t>Полученную прибыль предлагается распределить на развитие Общества (финансирование инвестиционной программы) следующим образом:</w:t>
      </w:r>
    </w:p>
    <w:p w:rsidR="005E3FDB" w:rsidRPr="00B83037" w:rsidRDefault="005E3FDB" w:rsidP="005E3FDB">
      <w:pPr>
        <w:numPr>
          <w:ilvl w:val="0"/>
          <w:numId w:val="2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83037">
        <w:rPr>
          <w:rFonts w:ascii="Times New Roman" w:hAnsi="Times New Roman"/>
          <w:b/>
          <w:color w:val="000000"/>
          <w:sz w:val="28"/>
          <w:szCs w:val="28"/>
        </w:rPr>
        <w:t>14</w:t>
      </w:r>
      <w:r w:rsidRPr="00B8303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 xml:space="preserve">631,3 </w:t>
      </w:r>
      <w:r w:rsidRPr="00B83037">
        <w:rPr>
          <w:rFonts w:ascii="Times New Roman" w:hAnsi="Times New Roman"/>
          <w:color w:val="000000"/>
          <w:sz w:val="28"/>
          <w:szCs w:val="28"/>
        </w:rPr>
        <w:t>млн рублей – объем финансирования инвестиционной программы Общества в 2025 году, утвержденный в соответствии с Постановлением № 977</w:t>
      </w:r>
      <w:r w:rsidRPr="00B83037">
        <w:rPr>
          <w:rFonts w:ascii="Times New Roman" w:hAnsi="Times New Roman"/>
          <w:sz w:val="28"/>
          <w:szCs w:val="28"/>
        </w:rPr>
        <w:t xml:space="preserve">, Приказом № 4@: проекты, утвержденные Распоряжением </w:t>
      </w:r>
      <w:r w:rsidRPr="00B83037">
        <w:rPr>
          <w:rFonts w:ascii="Times New Roman" w:hAnsi="Times New Roman"/>
          <w:color w:val="000000"/>
          <w:sz w:val="28"/>
          <w:szCs w:val="28"/>
        </w:rPr>
        <w:t>№ 2101-р;</w:t>
      </w:r>
    </w:p>
    <w:p w:rsidR="005E3FDB" w:rsidRPr="00B83037" w:rsidRDefault="005E3FDB" w:rsidP="005E3FDB">
      <w:pPr>
        <w:numPr>
          <w:ilvl w:val="0"/>
          <w:numId w:val="2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B83037">
        <w:rPr>
          <w:rFonts w:ascii="Times New Roman" w:hAnsi="Times New Roman"/>
          <w:b/>
          <w:color w:val="000000"/>
          <w:sz w:val="28"/>
          <w:szCs w:val="28"/>
        </w:rPr>
        <w:t>30</w:t>
      </w:r>
      <w:r w:rsidRPr="00B8303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b/>
          <w:color w:val="000000"/>
          <w:sz w:val="28"/>
          <w:szCs w:val="28"/>
        </w:rPr>
        <w:t xml:space="preserve">908,2 </w:t>
      </w:r>
      <w:r w:rsidRPr="00B83037">
        <w:rPr>
          <w:rFonts w:ascii="Times New Roman" w:hAnsi="Times New Roman"/>
          <w:color w:val="000000"/>
          <w:sz w:val="28"/>
          <w:szCs w:val="28"/>
        </w:rPr>
        <w:t xml:space="preserve">млн рублей – объем финансирования капитализируемых </w:t>
      </w:r>
      <w:r w:rsidRPr="00B83037">
        <w:rPr>
          <w:rFonts w:ascii="Times New Roman" w:hAnsi="Times New Roman"/>
          <w:sz w:val="28"/>
          <w:szCs w:val="28"/>
        </w:rPr>
        <w:t xml:space="preserve">процентов </w:t>
      </w:r>
      <w:r w:rsidRPr="00B83037">
        <w:rPr>
          <w:rFonts w:ascii="Times New Roman" w:hAnsi="Times New Roman"/>
          <w:color w:val="000000"/>
          <w:sz w:val="28"/>
          <w:szCs w:val="28"/>
        </w:rPr>
        <w:t>в 2025 году по кредитам, привлеченным на финансирование проектов, утвержденных Распоряжением № 2101-р;</w:t>
      </w:r>
    </w:p>
    <w:p w:rsidR="005E3FDB" w:rsidRPr="00B83037" w:rsidRDefault="005E3FDB" w:rsidP="005E3FDB">
      <w:pPr>
        <w:numPr>
          <w:ilvl w:val="0"/>
          <w:numId w:val="2"/>
        </w:numPr>
        <w:tabs>
          <w:tab w:val="left" w:pos="0"/>
        </w:tabs>
        <w:spacing w:after="0" w:line="276" w:lineRule="auto"/>
        <w:ind w:left="0"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B83037">
        <w:rPr>
          <w:rFonts w:ascii="Times New Roman" w:hAnsi="Times New Roman"/>
          <w:b/>
          <w:spacing w:val="-2"/>
          <w:sz w:val="28"/>
          <w:szCs w:val="28"/>
        </w:rPr>
        <w:t xml:space="preserve"> 21 379,9</w:t>
      </w:r>
      <w:r w:rsidRPr="00B83037">
        <w:rPr>
          <w:rFonts w:ascii="Times New Roman" w:hAnsi="Times New Roman"/>
          <w:color w:val="000000"/>
          <w:sz w:val="28"/>
          <w:szCs w:val="28"/>
        </w:rPr>
        <w:t xml:space="preserve"> млн рублей –</w:t>
      </w:r>
      <w:r w:rsidRPr="00B83037">
        <w:rPr>
          <w:sz w:val="28"/>
          <w:szCs w:val="28"/>
        </w:rPr>
        <w:t xml:space="preserve"> </w:t>
      </w:r>
      <w:r w:rsidRPr="00B83037">
        <w:rPr>
          <w:rFonts w:ascii="Times New Roman" w:hAnsi="Times New Roman"/>
          <w:color w:val="000000"/>
          <w:sz w:val="28"/>
          <w:szCs w:val="28"/>
        </w:rPr>
        <w:t>прибыль на финансирование инвестиционной программы в 2026 году.</w:t>
      </w:r>
    </w:p>
    <w:p w:rsidR="005E3FDB" w:rsidRPr="00B83037" w:rsidRDefault="005E3FDB" w:rsidP="005E3FD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83037">
        <w:rPr>
          <w:rFonts w:ascii="Times New Roman" w:hAnsi="Times New Roman"/>
          <w:color w:val="000000"/>
          <w:sz w:val="28"/>
          <w:szCs w:val="28"/>
        </w:rPr>
        <w:t xml:space="preserve">Переходящий с 2025 года </w:t>
      </w:r>
      <w:r w:rsidRPr="00B83037">
        <w:rPr>
          <w:rFonts w:ascii="Times New Roman" w:hAnsi="Times New Roman"/>
          <w:sz w:val="28"/>
          <w:szCs w:val="28"/>
        </w:rPr>
        <w:t>остаток источников финансирования инвестиционной программы составляет 21</w:t>
      </w:r>
      <w:r w:rsidRPr="00B83037">
        <w:rPr>
          <w:rFonts w:ascii="Times New Roman" w:hAnsi="Times New Roman"/>
          <w:sz w:val="28"/>
          <w:szCs w:val="28"/>
          <w:lang w:val="en-US"/>
        </w:rPr>
        <w:t> </w:t>
      </w:r>
      <w:r w:rsidRPr="00B83037">
        <w:rPr>
          <w:rFonts w:ascii="Times New Roman" w:hAnsi="Times New Roman"/>
          <w:sz w:val="28"/>
          <w:szCs w:val="28"/>
        </w:rPr>
        <w:t xml:space="preserve">379,9 </w:t>
      </w:r>
      <w:r w:rsidRPr="00B83037">
        <w:rPr>
          <w:rFonts w:ascii="Times New Roman" w:hAnsi="Times New Roman"/>
          <w:color w:val="000000"/>
          <w:sz w:val="28"/>
          <w:szCs w:val="28"/>
        </w:rPr>
        <w:t>млн рублей и планируется к использованию в 2026 году.</w:t>
      </w:r>
      <w:r w:rsidRPr="00B83037">
        <w:rPr>
          <w:rFonts w:ascii="Times New Roman" w:hAnsi="Times New Roman"/>
          <w:sz w:val="28"/>
          <w:szCs w:val="28"/>
        </w:rPr>
        <w:t xml:space="preserve"> 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3037">
        <w:rPr>
          <w:rFonts w:ascii="Times New Roman" w:hAnsi="Times New Roman"/>
          <w:sz w:val="28"/>
          <w:szCs w:val="28"/>
        </w:rPr>
        <w:t>Отчисления в резервный фонд в 2023 – 2025 годах в соответствии с п. 1 ст. 35 ФЗ об АО и п. 2.11 Устава Общества не требуются: установленный размер резервного фонда достигнут.</w:t>
      </w:r>
    </w:p>
    <w:p w:rsidR="005E3FDB" w:rsidRPr="00B83037" w:rsidRDefault="005E3FDB" w:rsidP="005E3FDB">
      <w:pPr>
        <w:pStyle w:val="a9"/>
        <w:tabs>
          <w:tab w:val="left" w:pos="1260"/>
        </w:tabs>
        <w:spacing w:before="0" w:after="0" w:afterAutospacing="0"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3FDB" w:rsidRDefault="005E3FDB" w:rsidP="00F65DB8">
      <w:bookmarkStart w:id="1" w:name="_GoBack"/>
      <w:bookmarkEnd w:id="1"/>
    </w:p>
    <w:sectPr w:rsidR="005E3FDB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D1755"/>
    <w:multiLevelType w:val="multilevel"/>
    <w:tmpl w:val="BEBA802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EEA6255"/>
    <w:multiLevelType w:val="multilevel"/>
    <w:tmpl w:val="28222708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5E3FDB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1914F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List Paragraph"/>
    <w:aliases w:val="Нумерованый список,ПАРАГРАФ"/>
    <w:basedOn w:val="a"/>
    <w:link w:val="a8"/>
    <w:uiPriority w:val="34"/>
    <w:qFormat/>
    <w:rsid w:val="005E3F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3F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Нумерованый список Знак,ПАРАГРАФ Знак"/>
    <w:link w:val="a7"/>
    <w:uiPriority w:val="34"/>
    <w:qFormat/>
    <w:locked/>
    <w:rsid w:val="005E3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qFormat/>
    <w:rsid w:val="005E3FDB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40F2BFED389C9E551BBF11F86CD4E18190A8BA435B4C9CD6E98FB3E810C9D04FC4A6AE7DF0B3F2ECDEBE850DFC67723D0F8690D1CE01D8FFW4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1564</Words>
  <Characters>8919</Characters>
  <Application>Microsoft Office Word</Application>
  <DocSecurity>0</DocSecurity>
  <Lines>74</Lines>
  <Paragraphs>20</Paragraphs>
  <ScaleCrop>false</ScaleCrop>
  <Company>РусГидро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2026-05-27T06:24:00Z</dcterms:modified>
</cp:coreProperties>
</file>